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E428E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428E8" w:rsidRDefault="00C0244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8E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428E8" w:rsidRDefault="00C02441">
            <w:pPr>
              <w:pStyle w:val="ConsPlusTitlePage0"/>
              <w:jc w:val="center"/>
            </w:pPr>
            <w:r>
              <w:rPr>
                <w:sz w:val="48"/>
              </w:rPr>
              <w:t>Постановление Комитета по ценам и тарифам Правительства Хабаровского края от 25.11.2022 N 47/156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 xml:space="preserve">Об установлении индивидуальных цен (тарифов) на услуги по передаче электрической энергии (мощности) по сетям муниципального унитарного предприятия </w:t>
            </w:r>
            <w:proofErr w:type="spellStart"/>
            <w:r>
              <w:rPr>
                <w:sz w:val="48"/>
              </w:rPr>
              <w:t>Ванинского</w:t>
            </w:r>
            <w:proofErr w:type="spellEnd"/>
            <w:r>
              <w:rPr>
                <w:sz w:val="48"/>
              </w:rPr>
              <w:t xml:space="preserve"> муниципального района "Электросеть" для взаиморасчетов с акционерным обществом "Дальневосточная ра</w:t>
            </w:r>
            <w:r>
              <w:rPr>
                <w:sz w:val="48"/>
              </w:rPr>
              <w:t>спределительная сетевая компания" (филиал "Хабаровские электрические сети") на 2023 - 2027 годы"</w:t>
            </w:r>
          </w:p>
        </w:tc>
      </w:tr>
      <w:tr w:rsidR="00E428E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428E8" w:rsidRDefault="00C02441" w:rsidP="00C0244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bookmarkStart w:id="0" w:name="_GoBack"/>
            <w:bookmarkEnd w:id="0"/>
            <w:r>
              <w:rPr>
                <w:sz w:val="28"/>
              </w:rPr>
              <w:br/>
              <w:t> </w:t>
            </w:r>
          </w:p>
        </w:tc>
      </w:tr>
    </w:tbl>
    <w:p w:rsidR="00E428E8" w:rsidRDefault="00E428E8">
      <w:pPr>
        <w:pStyle w:val="ConsPlusNormal0"/>
        <w:sectPr w:rsidR="00E428E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428E8" w:rsidRDefault="00E428E8">
      <w:pPr>
        <w:pStyle w:val="ConsPlusNormal0"/>
        <w:jc w:val="both"/>
        <w:outlineLvl w:val="0"/>
      </w:pPr>
    </w:p>
    <w:p w:rsidR="00E428E8" w:rsidRDefault="00C02441">
      <w:pPr>
        <w:pStyle w:val="ConsPlusTitle0"/>
        <w:jc w:val="center"/>
        <w:outlineLvl w:val="0"/>
      </w:pPr>
      <w:r>
        <w:t>КОМИТЕТ ПО ЦЕНАМ И ТАРИФАМ ПРАВИТЕЛЬСТВА ХАБАРОВСКОГО КРАЯ</w:t>
      </w:r>
    </w:p>
    <w:p w:rsidR="00E428E8" w:rsidRDefault="00E428E8">
      <w:pPr>
        <w:pStyle w:val="ConsPlusTitle0"/>
        <w:jc w:val="center"/>
      </w:pPr>
    </w:p>
    <w:p w:rsidR="00E428E8" w:rsidRDefault="00C02441">
      <w:pPr>
        <w:pStyle w:val="ConsPlusTitle0"/>
        <w:jc w:val="center"/>
      </w:pPr>
      <w:r>
        <w:t>ПОСТАНОВЛЕНИЕ</w:t>
      </w:r>
    </w:p>
    <w:p w:rsidR="00E428E8" w:rsidRDefault="00C02441">
      <w:pPr>
        <w:pStyle w:val="ConsPlusTitle0"/>
        <w:jc w:val="center"/>
      </w:pPr>
      <w:r>
        <w:t>от 25 ноября 2022 г. N 47/156</w:t>
      </w:r>
    </w:p>
    <w:p w:rsidR="00E428E8" w:rsidRDefault="00E428E8">
      <w:pPr>
        <w:pStyle w:val="ConsPlusTitle0"/>
        <w:jc w:val="center"/>
      </w:pPr>
    </w:p>
    <w:p w:rsidR="00E428E8" w:rsidRDefault="00C02441">
      <w:pPr>
        <w:pStyle w:val="ConsPlusTitle0"/>
        <w:jc w:val="center"/>
      </w:pPr>
      <w:r>
        <w:t>ОБ УСТАНОВЛЕНИИ ИНДИВИДУАЛЬНЫХ ЦЕН (ТАРИФОВ) НА УСЛУГИ</w:t>
      </w:r>
    </w:p>
    <w:p w:rsidR="00E428E8" w:rsidRDefault="00C02441">
      <w:pPr>
        <w:pStyle w:val="ConsPlusTitle0"/>
        <w:jc w:val="center"/>
      </w:pPr>
      <w:r>
        <w:t>ПО ПЕРЕДАЧЕ ЭЛЕКТРИЧЕСКОЙ ЭНЕРГИИ (МОЩНОСТИ) ПО СЕТЯМ</w:t>
      </w:r>
    </w:p>
    <w:p w:rsidR="00E428E8" w:rsidRDefault="00C02441">
      <w:pPr>
        <w:pStyle w:val="ConsPlusTitle0"/>
        <w:jc w:val="center"/>
      </w:pPr>
      <w:r>
        <w:t>МУНИЦИПАЛЬНОГО УНИТАРНОГО ПРЕДПРИЯТИЯ ВАНИНСКОГО</w:t>
      </w:r>
    </w:p>
    <w:p w:rsidR="00E428E8" w:rsidRDefault="00C02441">
      <w:pPr>
        <w:pStyle w:val="ConsPlusTitle0"/>
        <w:jc w:val="center"/>
      </w:pPr>
      <w:r>
        <w:t>МУНИЦИПАЛЬНОГО РАЙОНА "ЭЛЕКТРОСЕТЬ" ДЛЯ ВЗАИМОРАСЧЕТОВ</w:t>
      </w:r>
    </w:p>
    <w:p w:rsidR="00E428E8" w:rsidRDefault="00C02441">
      <w:pPr>
        <w:pStyle w:val="ConsPlusTitle0"/>
        <w:jc w:val="center"/>
      </w:pPr>
      <w:r>
        <w:t>С АКЦИОНЕРНЫМ ОБЩЕСТВОМ "ДАЛЬНЕВОСТОЧНАЯ РА</w:t>
      </w:r>
      <w:r>
        <w:t>СПРЕДЕЛИТЕЛЬНАЯ</w:t>
      </w:r>
    </w:p>
    <w:p w:rsidR="00E428E8" w:rsidRDefault="00C02441">
      <w:pPr>
        <w:pStyle w:val="ConsPlusTitle0"/>
        <w:jc w:val="center"/>
      </w:pPr>
      <w:r>
        <w:t>СЕТЕВАЯ КОМПАНИЯ" (ФИЛИАЛ "ХАБАРОВСКИЕ ЭЛЕКТРИЧЕСКИЕ СЕТИ")</w:t>
      </w:r>
    </w:p>
    <w:p w:rsidR="00E428E8" w:rsidRDefault="00C02441">
      <w:pPr>
        <w:pStyle w:val="ConsPlusTitle0"/>
        <w:jc w:val="center"/>
      </w:pPr>
      <w:r>
        <w:t>НА 2023 - 2027 ГОДЫ</w:t>
      </w:r>
    </w:p>
    <w:p w:rsidR="00E428E8" w:rsidRDefault="00E428E8">
      <w:pPr>
        <w:pStyle w:val="ConsPlusNormal0"/>
        <w:jc w:val="both"/>
      </w:pPr>
    </w:p>
    <w:p w:rsidR="00E428E8" w:rsidRDefault="00C02441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26.03.2003 N 35-ФЗ (ред. от 21.11.2022) &quot;Об электроэнергетике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26 марта 2003 г. N 35-ФЗ "Об электроэнергетике", постановлениями Правительства Российской Федерации от 29 декабря 2011 г. </w:t>
      </w:r>
      <w:hyperlink r:id="rId10" w:tooltip="Постановление Правительства РФ от 29.12.2011 N 1178 (ред. от 14.11.2022) &quot;О ценообразовании в области регулируемых цен (тарифов) в электроэнергетике&quot; (вместе с &quot;Основами ценообразования в области регулируемых цен (тарифов) в электроэнергетике&quot;, &quot;Правилами госу">
        <w:r>
          <w:rPr>
            <w:color w:val="0000FF"/>
          </w:rPr>
          <w:t>N 1178</w:t>
        </w:r>
      </w:hyperlink>
      <w:r>
        <w:t xml:space="preserve"> "О ценообразовании в области регулируемых цен (тарифов) в электроэнергетике", от 14 ноября 2022 г. </w:t>
      </w:r>
      <w:hyperlink r:id="rId11" w:tooltip="Постановление Правительства РФ от 14.11.2022 N 2053 &quot;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2053</w:t>
        </w:r>
      </w:hyperlink>
      <w:r>
        <w:t xml:space="preserve"> "Об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Федерации", приказами ФСТ России</w:t>
      </w:r>
      <w:r>
        <w:t xml:space="preserve"> от 6 августа 2004 г. </w:t>
      </w:r>
      <w:hyperlink r:id="rId12" w:tooltip="Приказ ФСТ России от 06.08.2004 N 20-э/2 (ред. от 15.02.2022) &quot;Об утверждении Методических указаний по расчету регулируемых тарифов и цен на электрическую (тепловую) энергию на розничном (потребительском) рынке&quot; (Зарегистрировано в Минюсте России 20.10.2004 N ">
        <w:r>
          <w:rPr>
            <w:color w:val="0000FF"/>
          </w:rPr>
          <w:t>N 20-э/2</w:t>
        </w:r>
      </w:hyperlink>
      <w:r>
        <w:t xml:space="preserve"> "Об утверждении Методических указаний по расчету регулируемых тарифов</w:t>
      </w:r>
      <w:r>
        <w:t xml:space="preserve"> и цен на электрическую (тепловую) энергию на розничном (потребительском) рынке", от 17 февраля 2012 г. </w:t>
      </w:r>
      <w:hyperlink r:id="rId13" w:tooltip="Приказ ФСТ России от 17.02.2012 N 98-э (ред. от 18.07.2022) &quot;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&quot; (Зарегис">
        <w:r>
          <w:rPr>
            <w:color w:val="0000FF"/>
          </w:rPr>
          <w:t>N 98-э</w:t>
        </w:r>
      </w:hyperlink>
      <w:r>
        <w:t xml:space="preserve"> "Об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выручки", </w:t>
      </w:r>
      <w:hyperlink r:id="rId14" w:tooltip="Приказ ФАС России от 10.03.2022 N 196/22 &quot;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">
        <w:r>
          <w:rPr>
            <w:color w:val="0000FF"/>
          </w:rPr>
          <w:t>Приказом</w:t>
        </w:r>
      </w:hyperlink>
      <w:r>
        <w:t xml:space="preserve"> ФАС России от 10 марта 2022 г. N 196/22 "Об утверждении Регламента установления цен (тарифов) и (или) их предельных уровней, предусматривающего </w:t>
      </w:r>
      <w:r>
        <w:t>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</w:t>
      </w:r>
      <w:r>
        <w:t xml:space="preserve">рования тарифов", </w:t>
      </w:r>
      <w:hyperlink r:id="rId15" w:tooltip="Постановление Правительства Хабаровского края от 04.06.2010 N 142-пр (ред. от 06.04.2021) &quot;Об утверждении Положения о комитете по ценам и тарифам Правительства Хабаровского края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4 июня 2010 г. N 142-пр "Об утверждении Положения о комитете по ценам и тарифам Правител</w:t>
      </w:r>
      <w:r>
        <w:t>ьства Хабаровского края" и на основании экспертного заключения о проведенной экономической экспертизе предложения об установлении индивидуальных цен (тарифов) на услуги по передаче электрической энергии (мощности), установленных на основе долгосрочных пара</w:t>
      </w:r>
      <w:r>
        <w:t xml:space="preserve">метров регулирования, по сетям муниципального унитарного предприятия </w:t>
      </w:r>
      <w:proofErr w:type="spellStart"/>
      <w:r>
        <w:t>Ванинского</w:t>
      </w:r>
      <w:proofErr w:type="spellEnd"/>
      <w:r>
        <w:t xml:space="preserve"> муниципального района "Электросеть" для взаиморасчетов с акционерным обществом "Дальневосточная распределительная сетевая компания" (филиал "Хабаровские электрические сети") на</w:t>
      </w:r>
      <w:r>
        <w:t xml:space="preserve"> долгосрочный период регулирования 2023 - 2027 годы методом долгосрочной индексации необходимой валовой выручки (дело от 29 апреля 2022 г. N 39/ТЭК) комитет по ценам и тарифам Правительства Хабаровского края постановляет:</w:t>
      </w:r>
    </w:p>
    <w:p w:rsidR="00E428E8" w:rsidRDefault="00C02441">
      <w:pPr>
        <w:pStyle w:val="ConsPlusNormal0"/>
        <w:spacing w:before="200"/>
        <w:ind w:firstLine="540"/>
        <w:jc w:val="both"/>
      </w:pPr>
      <w:r>
        <w:t xml:space="preserve">1. Установить необходимую валовую </w:t>
      </w:r>
      <w:hyperlink w:anchor="P40" w:tooltip="НЕОБХОДИМАЯ ВАЛОВАЯ ВЫРУЧКА">
        <w:r>
          <w:rPr>
            <w:color w:val="0000FF"/>
          </w:rPr>
          <w:t>выручку</w:t>
        </w:r>
      </w:hyperlink>
      <w:r>
        <w:t xml:space="preserve"> (без учета оплаты потерь) для муниципального унитарного предприятия </w:t>
      </w:r>
      <w:proofErr w:type="spellStart"/>
      <w:r>
        <w:t>Ванинского</w:t>
      </w:r>
      <w:proofErr w:type="spellEnd"/>
      <w:r>
        <w:t xml:space="preserve"> муниципального района "Электросеть" на долгосрочный период регулирования с 1 января 2023 г. по 31 декабря 2027</w:t>
      </w:r>
      <w:r>
        <w:t xml:space="preserve"> г. согласно приложению 1 к настоящему постановлению.</w:t>
      </w:r>
    </w:p>
    <w:p w:rsidR="00E428E8" w:rsidRDefault="00C02441">
      <w:pPr>
        <w:pStyle w:val="ConsPlusNormal0"/>
        <w:spacing w:before="200"/>
        <w:ind w:firstLine="540"/>
        <w:jc w:val="both"/>
      </w:pPr>
      <w:r>
        <w:t xml:space="preserve">2. Установить долгосрочные </w:t>
      </w:r>
      <w:hyperlink w:anchor="P72" w:tooltip="ДОЛГОСРОЧНЫЕ ПАРАМЕТРЫ РЕГУЛИРОВАНИЯ">
        <w:r>
          <w:rPr>
            <w:color w:val="0000FF"/>
          </w:rPr>
          <w:t>параметры</w:t>
        </w:r>
      </w:hyperlink>
      <w:r>
        <w:t xml:space="preserve"> регулирования для муниципального унитарного предприятия </w:t>
      </w:r>
      <w:proofErr w:type="spellStart"/>
      <w:r>
        <w:t>Ванинского</w:t>
      </w:r>
      <w:proofErr w:type="spellEnd"/>
      <w:r>
        <w:t xml:space="preserve"> муниципального района "</w:t>
      </w:r>
      <w:r>
        <w:t>Электросеть", в отношении которого (цены) тарифы на услуги по передаче электрической энергии (мощности) устанавливаются на основе долгосрочных параметров регулирования, с 1 января 2023 г. по 31 декабря 2027 г. согласно приложению 2 к настоящему постановлен</w:t>
      </w:r>
      <w:r>
        <w:t>ию.</w:t>
      </w:r>
    </w:p>
    <w:p w:rsidR="00E428E8" w:rsidRDefault="00C02441">
      <w:pPr>
        <w:pStyle w:val="ConsPlusNormal0"/>
        <w:spacing w:before="200"/>
        <w:ind w:firstLine="540"/>
        <w:jc w:val="both"/>
      </w:pPr>
      <w:bookmarkStart w:id="1" w:name="P17"/>
      <w:bookmarkEnd w:id="1"/>
      <w:r>
        <w:t xml:space="preserve">3. Установить индивидуальные </w:t>
      </w:r>
      <w:hyperlink w:anchor="P159" w:tooltip="ИНДИВИДУАЛЬНЫЕ ЦЕНЫ (ТАРИФЫ)">
        <w:r>
          <w:rPr>
            <w:color w:val="0000FF"/>
          </w:rPr>
          <w:t>цены (тарифы)</w:t>
        </w:r>
      </w:hyperlink>
      <w:r>
        <w:t xml:space="preserve"> на услуги по передаче электрической энергии (мощности) по сетям муниципального унитарного предприятия </w:t>
      </w:r>
      <w:proofErr w:type="spellStart"/>
      <w:r>
        <w:t>Ванинского</w:t>
      </w:r>
      <w:proofErr w:type="spellEnd"/>
      <w:r>
        <w:t xml:space="preserve"> муниципального района "Электросеть"</w:t>
      </w:r>
      <w:r>
        <w:t xml:space="preserve"> для взаиморасчетов с акционерным обществом "Дальневосточная распределительная сетевая компания" (филиал "Хабаровские электрические сети") с календарной разбивкой согласно приложению 3 к настоящему постановлению.</w:t>
      </w:r>
    </w:p>
    <w:p w:rsidR="00E428E8" w:rsidRDefault="00C02441">
      <w:pPr>
        <w:pStyle w:val="ConsPlusNormal0"/>
        <w:spacing w:before="200"/>
        <w:ind w:firstLine="540"/>
        <w:jc w:val="both"/>
      </w:pPr>
      <w:r>
        <w:t xml:space="preserve">4. Индивидуальные </w:t>
      </w:r>
      <w:hyperlink w:anchor="P159" w:tooltip="ИНДИВИДУАЛЬНЫЕ ЦЕНЫ (ТАРИФЫ)">
        <w:r>
          <w:rPr>
            <w:color w:val="0000FF"/>
          </w:rPr>
          <w:t>цены (тарифы)</w:t>
        </w:r>
      </w:hyperlink>
      <w:r>
        <w:t xml:space="preserve"> на услуги по передаче электрической энергии (мощности), установленные в </w:t>
      </w:r>
      <w:hyperlink w:anchor="P17" w:tooltip="3. Установить индивидуальные цены (тарифы) на услуги по передаче электрической энергии (мощности) по сетям муниципального унитарного предприятия Ванинского муниципального района &quot;Электросеть&quot; для взаиморасчетов с акционерным обществом &quot;Дальневосточная распреде">
        <w:r>
          <w:rPr>
            <w:color w:val="0000FF"/>
          </w:rPr>
          <w:t>пункте 3</w:t>
        </w:r>
      </w:hyperlink>
      <w:r>
        <w:t xml:space="preserve"> настоящего постановления, действуют с 1 января 2023 г. по 31 декабря 2027 г.</w:t>
      </w:r>
    </w:p>
    <w:p w:rsidR="00E428E8" w:rsidRDefault="00C02441">
      <w:pPr>
        <w:pStyle w:val="ConsPlusNormal0"/>
        <w:spacing w:before="200"/>
        <w:ind w:firstLine="540"/>
        <w:jc w:val="both"/>
      </w:pPr>
      <w:r>
        <w:t>5. Призна</w:t>
      </w:r>
      <w:r>
        <w:t>ть с 1 января 2023 г. утратившими силу постановления комитета по ценам и тарифам Правительства Хабаровского края:</w:t>
      </w:r>
    </w:p>
    <w:p w:rsidR="00E428E8" w:rsidRDefault="00C02441">
      <w:pPr>
        <w:pStyle w:val="ConsPlusNormal0"/>
        <w:spacing w:before="200"/>
        <w:ind w:firstLine="540"/>
        <w:jc w:val="both"/>
      </w:pPr>
      <w:r>
        <w:lastRenderedPageBreak/>
        <w:t xml:space="preserve">- от 22 декабря 2017 г. </w:t>
      </w:r>
      <w:hyperlink r:id="rId16" w:tooltip="Постановление Комитета по ценам и тарифам Правительства Хабаровского края от 22.12.2017 N 40/3 &quot;Об установлении индивидуальных цен (тарифов) на услуги по передаче электрической энергии (мощности) по сетям муниципального унитарного предприятия Ванинского муници">
        <w:r>
          <w:rPr>
            <w:color w:val="0000FF"/>
          </w:rPr>
          <w:t>N 40/3</w:t>
        </w:r>
      </w:hyperlink>
      <w:r>
        <w:t xml:space="preserve"> "Об установлении индивидуальных цен (тарифов) на услуги по передаче электрической энергии (мощности) по сетям муниципального унитарного предприятия </w:t>
      </w:r>
      <w:proofErr w:type="spellStart"/>
      <w:r>
        <w:t>Ванинского</w:t>
      </w:r>
      <w:proofErr w:type="spellEnd"/>
      <w:r>
        <w:t xml:space="preserve"> муниципального района "Электросеть" для взаим</w:t>
      </w:r>
      <w:r>
        <w:t>орасчетов с акционерным обществом "Дальневосточная распределительная сетевая компания" (филиал "Хабаровские электрические сети") на 2018 - 2022 годы";</w:t>
      </w:r>
    </w:p>
    <w:p w:rsidR="00E428E8" w:rsidRDefault="00C02441">
      <w:pPr>
        <w:pStyle w:val="ConsPlusNormal0"/>
        <w:spacing w:before="200"/>
        <w:ind w:firstLine="540"/>
        <w:jc w:val="both"/>
      </w:pPr>
      <w:r>
        <w:t xml:space="preserve">- от 21 декабря 2018 г. </w:t>
      </w:r>
      <w:hyperlink r:id="rId17" w:tooltip="Постановление Комитета по ценам и тарифам Правительства Хабаровского края от 21.12.2018 N 41/11 &quot;О внесении изменений в постановление комитета по ценам и тарифам Правительства Хабаровского края от 22.12.2017 N 40/3&quot; ------------ Утратил силу или отменен {Консу">
        <w:r>
          <w:rPr>
            <w:color w:val="0000FF"/>
          </w:rPr>
          <w:t>N 41/11</w:t>
        </w:r>
      </w:hyperlink>
      <w:r>
        <w:t xml:space="preserve"> "О внесении изменений в постановление комитета по ценам и тарифам Правительства Хабаровского края от 22.12.2017 N 40/3";</w:t>
      </w:r>
    </w:p>
    <w:p w:rsidR="00E428E8" w:rsidRDefault="00C02441">
      <w:pPr>
        <w:pStyle w:val="ConsPlusNormal0"/>
        <w:spacing w:before="200"/>
        <w:ind w:firstLine="540"/>
        <w:jc w:val="both"/>
      </w:pPr>
      <w:r>
        <w:t xml:space="preserve">- от 25 декабря 2019 г. </w:t>
      </w:r>
      <w:hyperlink r:id="rId18" w:tooltip="Постановление Комитета по ценам и тарифам Правительства Хабаровского края от 25.12.2019 N 45/16 &quot;О внесении изменений в постановление комитета по ценам и тарифам Правительства Хабаровского края от 22.12.2017 N 40/3&quot; ------------ Утратил силу или отменен {Консу">
        <w:r>
          <w:rPr>
            <w:color w:val="0000FF"/>
          </w:rPr>
          <w:t>N 45/16</w:t>
        </w:r>
      </w:hyperlink>
      <w:r>
        <w:t xml:space="preserve"> "О внесении изменений в постановление комитета по ценам и тарифам Правительства Хабаровского края от 22.</w:t>
      </w:r>
      <w:r>
        <w:t>12.2017 N 40/3";</w:t>
      </w:r>
    </w:p>
    <w:p w:rsidR="00E428E8" w:rsidRDefault="00C02441">
      <w:pPr>
        <w:pStyle w:val="ConsPlusNormal0"/>
        <w:spacing w:before="200"/>
        <w:ind w:firstLine="540"/>
        <w:jc w:val="both"/>
      </w:pPr>
      <w:r>
        <w:t xml:space="preserve">- от 25 декабря 2020 г. </w:t>
      </w:r>
      <w:hyperlink r:id="rId19" w:tooltip="Постановление Комитета по ценам и тарифам Правительства Хабаровского края от 25.12.2020 N 43/13 &quot;О внесении изменений в постановление комитета по ценам и тарифам Правительства Хабаровского края от 22.12.2017 N 40/3&quot; ------------ Утратил силу или отменен {Консу">
        <w:r>
          <w:rPr>
            <w:color w:val="0000FF"/>
          </w:rPr>
          <w:t>N 43/13</w:t>
        </w:r>
      </w:hyperlink>
      <w:r>
        <w:t xml:space="preserve"> "О внесении изменений в постановление комит</w:t>
      </w:r>
      <w:r>
        <w:t>ета по ценам и тарифам Правительства Хабаровского края от 22.12.2017 N 40/3";</w:t>
      </w:r>
    </w:p>
    <w:p w:rsidR="00E428E8" w:rsidRDefault="00C02441">
      <w:pPr>
        <w:pStyle w:val="ConsPlusNormal0"/>
        <w:spacing w:before="200"/>
        <w:ind w:firstLine="540"/>
        <w:jc w:val="both"/>
      </w:pPr>
      <w:r>
        <w:t xml:space="preserve">- от 22 декабря 2021 г. </w:t>
      </w:r>
      <w:hyperlink r:id="rId20" w:tooltip="Постановление Комитета по ценам и тарифам Правительства Хабаровского края от 22.12.2021 N 43/4 &quot;О внесении изменений в постановление комитета по ценам и тарифам Правительства Хабаровского края от 22 декабря 2017 г. N 40/3 &quot;Об установлении индивидуальных цен (т">
        <w:r>
          <w:rPr>
            <w:color w:val="0000FF"/>
          </w:rPr>
          <w:t>N 43/4</w:t>
        </w:r>
      </w:hyperlink>
      <w:r>
        <w:t xml:space="preserve"> "О внесении изменений в постановление комитета по ценам и тарифам Правительства Хабаровского края от 22.12.2017 N 40/3".</w:t>
      </w:r>
    </w:p>
    <w:p w:rsidR="00E428E8" w:rsidRDefault="00C02441">
      <w:pPr>
        <w:pStyle w:val="ConsPlusNormal0"/>
        <w:spacing w:before="200"/>
        <w:ind w:firstLine="540"/>
        <w:jc w:val="both"/>
      </w:pPr>
      <w:r>
        <w:t>6. Настоящее постановление вступает в силу в установленном законодательством порядке.</w:t>
      </w:r>
    </w:p>
    <w:p w:rsidR="00E428E8" w:rsidRDefault="00E428E8">
      <w:pPr>
        <w:pStyle w:val="ConsPlusNormal0"/>
        <w:jc w:val="both"/>
      </w:pPr>
    </w:p>
    <w:p w:rsidR="00E428E8" w:rsidRDefault="00C02441">
      <w:pPr>
        <w:pStyle w:val="ConsPlusNormal0"/>
        <w:jc w:val="right"/>
      </w:pPr>
      <w:r>
        <w:t>Председатель</w:t>
      </w:r>
    </w:p>
    <w:p w:rsidR="00E428E8" w:rsidRDefault="00C02441">
      <w:pPr>
        <w:pStyle w:val="ConsPlusNormal0"/>
        <w:jc w:val="right"/>
      </w:pPr>
      <w:proofErr w:type="spellStart"/>
      <w:r>
        <w:t>А.В.Сидорова</w:t>
      </w:r>
      <w:proofErr w:type="spellEnd"/>
    </w:p>
    <w:p w:rsidR="00E428E8" w:rsidRDefault="00E428E8">
      <w:pPr>
        <w:pStyle w:val="ConsPlusNormal0"/>
        <w:jc w:val="both"/>
      </w:pPr>
    </w:p>
    <w:p w:rsidR="00E428E8" w:rsidRDefault="00E428E8">
      <w:pPr>
        <w:pStyle w:val="ConsPlusNormal0"/>
        <w:jc w:val="both"/>
      </w:pPr>
    </w:p>
    <w:p w:rsidR="00E428E8" w:rsidRDefault="00E428E8">
      <w:pPr>
        <w:pStyle w:val="ConsPlusNormal0"/>
        <w:jc w:val="both"/>
      </w:pPr>
    </w:p>
    <w:p w:rsidR="00E428E8" w:rsidRDefault="00E428E8">
      <w:pPr>
        <w:pStyle w:val="ConsPlusNormal0"/>
        <w:jc w:val="both"/>
      </w:pPr>
    </w:p>
    <w:p w:rsidR="00E428E8" w:rsidRDefault="00E428E8">
      <w:pPr>
        <w:pStyle w:val="ConsPlusNormal0"/>
        <w:jc w:val="both"/>
      </w:pPr>
    </w:p>
    <w:p w:rsidR="00E428E8" w:rsidRDefault="00C02441">
      <w:pPr>
        <w:pStyle w:val="ConsPlusNormal0"/>
        <w:jc w:val="right"/>
        <w:outlineLvl w:val="0"/>
      </w:pPr>
      <w:r>
        <w:t>Приложение 1</w:t>
      </w:r>
    </w:p>
    <w:p w:rsidR="00E428E8" w:rsidRDefault="00C02441">
      <w:pPr>
        <w:pStyle w:val="ConsPlusNormal0"/>
        <w:jc w:val="right"/>
      </w:pPr>
      <w:r>
        <w:t>к постановлению</w:t>
      </w:r>
    </w:p>
    <w:p w:rsidR="00E428E8" w:rsidRDefault="00C02441">
      <w:pPr>
        <w:pStyle w:val="ConsPlusNormal0"/>
        <w:jc w:val="right"/>
      </w:pPr>
      <w:r>
        <w:t>Комитета по ценам и тарифам</w:t>
      </w:r>
    </w:p>
    <w:p w:rsidR="00E428E8" w:rsidRDefault="00C02441">
      <w:pPr>
        <w:pStyle w:val="ConsPlusNormal0"/>
        <w:jc w:val="right"/>
      </w:pPr>
      <w:r>
        <w:t>Правительства Хабаровского края</w:t>
      </w:r>
    </w:p>
    <w:p w:rsidR="00E428E8" w:rsidRDefault="00C02441">
      <w:pPr>
        <w:pStyle w:val="ConsPlusNormal0"/>
        <w:jc w:val="right"/>
      </w:pPr>
      <w:r>
        <w:t>от 25 ноября 2022 г. N 47/156</w:t>
      </w:r>
    </w:p>
    <w:p w:rsidR="00E428E8" w:rsidRDefault="00E428E8">
      <w:pPr>
        <w:pStyle w:val="ConsPlusNormal0"/>
        <w:jc w:val="both"/>
      </w:pPr>
    </w:p>
    <w:p w:rsidR="00E428E8" w:rsidRDefault="00C02441">
      <w:pPr>
        <w:pStyle w:val="ConsPlusTitle0"/>
        <w:jc w:val="center"/>
      </w:pPr>
      <w:bookmarkStart w:id="2" w:name="P40"/>
      <w:bookmarkEnd w:id="2"/>
      <w:r>
        <w:t>НЕОБХОДИМАЯ ВАЛОВАЯ ВЫРУЧКА</w:t>
      </w:r>
    </w:p>
    <w:p w:rsidR="00E428E8" w:rsidRDefault="00C02441">
      <w:pPr>
        <w:pStyle w:val="ConsPlusTitle0"/>
        <w:jc w:val="center"/>
      </w:pPr>
      <w:r>
        <w:t>НА ДОЛГОСРОЧНЫЙ ПЕРИОД РЕГУЛИРОВАНИЯ</w:t>
      </w:r>
    </w:p>
    <w:p w:rsidR="00E428E8" w:rsidRDefault="00C02441">
      <w:pPr>
        <w:pStyle w:val="ConsPlusTitle0"/>
        <w:jc w:val="center"/>
      </w:pPr>
      <w:r>
        <w:t>(БЕЗ УЧЕТА ОПЛАТЫ ПОТЕРЬ)</w:t>
      </w:r>
    </w:p>
    <w:p w:rsidR="00E428E8" w:rsidRDefault="00E428E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742"/>
        <w:gridCol w:w="737"/>
        <w:gridCol w:w="4082"/>
      </w:tblGrid>
      <w:tr w:rsidR="00E428E8">
        <w:tc>
          <w:tcPr>
            <w:tcW w:w="510" w:type="dxa"/>
            <w:vMerge w:val="restart"/>
          </w:tcPr>
          <w:p w:rsidR="00E428E8" w:rsidRDefault="00C02441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742" w:type="dxa"/>
            <w:vMerge w:val="restart"/>
          </w:tcPr>
          <w:p w:rsidR="00E428E8" w:rsidRDefault="00C02441">
            <w:pPr>
              <w:pStyle w:val="ConsPlusNormal0"/>
              <w:jc w:val="center"/>
            </w:pPr>
            <w:r>
              <w:t>Наименование сетевой организации в субъекте Российской Федерации</w:t>
            </w:r>
          </w:p>
        </w:tc>
        <w:tc>
          <w:tcPr>
            <w:tcW w:w="737" w:type="dxa"/>
            <w:vMerge w:val="restart"/>
          </w:tcPr>
          <w:p w:rsidR="00E428E8" w:rsidRDefault="00C02441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4082" w:type="dxa"/>
          </w:tcPr>
          <w:p w:rsidR="00E428E8" w:rsidRDefault="00C02441">
            <w:pPr>
              <w:pStyle w:val="ConsPlusNormal0"/>
              <w:jc w:val="center"/>
            </w:pPr>
            <w:r>
              <w:t>НВВ сетевых организаций без учета оплаты потерь</w:t>
            </w:r>
          </w:p>
        </w:tc>
      </w:tr>
      <w:tr w:rsidR="00E428E8">
        <w:tc>
          <w:tcPr>
            <w:tcW w:w="510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3742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737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4082" w:type="dxa"/>
            <w:vAlign w:val="bottom"/>
          </w:tcPr>
          <w:p w:rsidR="00E428E8" w:rsidRDefault="00C02441">
            <w:pPr>
              <w:pStyle w:val="ConsPlusNormal0"/>
              <w:jc w:val="center"/>
            </w:pPr>
            <w:r>
              <w:t>тыс. руб.</w:t>
            </w:r>
          </w:p>
        </w:tc>
      </w:tr>
      <w:tr w:rsidR="00E428E8">
        <w:tc>
          <w:tcPr>
            <w:tcW w:w="510" w:type="dxa"/>
            <w:vMerge w:val="restart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742" w:type="dxa"/>
            <w:vMerge w:val="restart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МУП "Электросеть"</w:t>
            </w:r>
          </w:p>
        </w:tc>
        <w:tc>
          <w:tcPr>
            <w:tcW w:w="737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4082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119 016,48</w:t>
            </w:r>
          </w:p>
        </w:tc>
      </w:tr>
      <w:tr w:rsidR="00E428E8">
        <w:tc>
          <w:tcPr>
            <w:tcW w:w="510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3742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4082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119 272,47</w:t>
            </w:r>
          </w:p>
        </w:tc>
      </w:tr>
      <w:tr w:rsidR="00E428E8">
        <w:tc>
          <w:tcPr>
            <w:tcW w:w="510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3742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4082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122 681,68</w:t>
            </w:r>
          </w:p>
        </w:tc>
      </w:tr>
      <w:tr w:rsidR="00E428E8">
        <w:tc>
          <w:tcPr>
            <w:tcW w:w="510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3742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4082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126 325,86</w:t>
            </w:r>
          </w:p>
        </w:tc>
      </w:tr>
      <w:tr w:rsidR="00E428E8">
        <w:tc>
          <w:tcPr>
            <w:tcW w:w="510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3742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4082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129 589,22</w:t>
            </w:r>
          </w:p>
        </w:tc>
      </w:tr>
    </w:tbl>
    <w:p w:rsidR="00E428E8" w:rsidRDefault="00E428E8">
      <w:pPr>
        <w:pStyle w:val="ConsPlusNormal0"/>
        <w:jc w:val="both"/>
      </w:pPr>
    </w:p>
    <w:p w:rsidR="00E428E8" w:rsidRDefault="00E428E8">
      <w:pPr>
        <w:pStyle w:val="ConsPlusNormal0"/>
        <w:jc w:val="both"/>
      </w:pPr>
    </w:p>
    <w:p w:rsidR="00E428E8" w:rsidRDefault="00E428E8">
      <w:pPr>
        <w:pStyle w:val="ConsPlusNormal0"/>
        <w:jc w:val="both"/>
      </w:pPr>
    </w:p>
    <w:p w:rsidR="00E428E8" w:rsidRDefault="00E428E8">
      <w:pPr>
        <w:pStyle w:val="ConsPlusNormal0"/>
        <w:jc w:val="both"/>
      </w:pPr>
    </w:p>
    <w:p w:rsidR="00E428E8" w:rsidRDefault="00E428E8">
      <w:pPr>
        <w:pStyle w:val="ConsPlusNormal0"/>
        <w:jc w:val="both"/>
      </w:pPr>
    </w:p>
    <w:p w:rsidR="00E428E8" w:rsidRDefault="00C02441">
      <w:pPr>
        <w:pStyle w:val="ConsPlusNormal0"/>
        <w:jc w:val="right"/>
        <w:outlineLvl w:val="0"/>
      </w:pPr>
      <w:r>
        <w:t>Приложение 2</w:t>
      </w:r>
    </w:p>
    <w:p w:rsidR="00E428E8" w:rsidRDefault="00C02441">
      <w:pPr>
        <w:pStyle w:val="ConsPlusNormal0"/>
        <w:jc w:val="right"/>
      </w:pPr>
      <w:r>
        <w:t>к постановлению</w:t>
      </w:r>
    </w:p>
    <w:p w:rsidR="00E428E8" w:rsidRDefault="00C02441">
      <w:pPr>
        <w:pStyle w:val="ConsPlusNormal0"/>
        <w:jc w:val="right"/>
      </w:pPr>
      <w:r>
        <w:lastRenderedPageBreak/>
        <w:t>Комитета по ценам и тарифам</w:t>
      </w:r>
    </w:p>
    <w:p w:rsidR="00E428E8" w:rsidRDefault="00C02441">
      <w:pPr>
        <w:pStyle w:val="ConsPlusNormal0"/>
        <w:jc w:val="right"/>
      </w:pPr>
      <w:r>
        <w:t>Правительства Хабаровского края</w:t>
      </w:r>
    </w:p>
    <w:p w:rsidR="00E428E8" w:rsidRDefault="00C02441">
      <w:pPr>
        <w:pStyle w:val="ConsPlusNormal0"/>
        <w:jc w:val="right"/>
      </w:pPr>
      <w:r>
        <w:t>от 25 ноября 2022 г. N 47/156</w:t>
      </w:r>
    </w:p>
    <w:p w:rsidR="00E428E8" w:rsidRDefault="00E428E8">
      <w:pPr>
        <w:pStyle w:val="ConsPlusNormal0"/>
        <w:jc w:val="both"/>
      </w:pPr>
    </w:p>
    <w:p w:rsidR="00E428E8" w:rsidRDefault="00C02441">
      <w:pPr>
        <w:pStyle w:val="ConsPlusTitle0"/>
        <w:jc w:val="center"/>
      </w:pPr>
      <w:bookmarkStart w:id="3" w:name="P72"/>
      <w:bookmarkEnd w:id="3"/>
      <w:r>
        <w:t>ДОЛГОСРОЧНЫЕ ПАРАМЕТРЫ РЕГУЛИРОВАНИЯ</w:t>
      </w:r>
    </w:p>
    <w:p w:rsidR="00E428E8" w:rsidRDefault="00C02441">
      <w:pPr>
        <w:pStyle w:val="ConsPlusTitle0"/>
        <w:jc w:val="center"/>
      </w:pPr>
      <w:r>
        <w:t>ДЛЯ МУНИЦИПАЛЬНОГО УНИТАРНОГО ПРЕДПРИЯТИЯ ВАНИНСКОГО</w:t>
      </w:r>
    </w:p>
    <w:p w:rsidR="00E428E8" w:rsidRDefault="00C02441">
      <w:pPr>
        <w:pStyle w:val="ConsPlusTitle0"/>
        <w:jc w:val="center"/>
      </w:pPr>
      <w:r>
        <w:t>МУНИЦИПАЛЬНОГО РАЙОНА "ЭЛЕКТРОСЕТЬ"</w:t>
      </w:r>
      <w:r>
        <w:t>, В ОТНОШЕНИИ КОТОРОГО</w:t>
      </w:r>
    </w:p>
    <w:p w:rsidR="00E428E8" w:rsidRDefault="00C02441">
      <w:pPr>
        <w:pStyle w:val="ConsPlusTitle0"/>
        <w:jc w:val="center"/>
      </w:pPr>
      <w:r>
        <w:t>ЦЕНЫ (ТАРИФЫ) НА УСЛУГИ ПО ПЕРЕДАЧЕ ЭЛЕКТРИЧЕСКОЙ ЭНЕРГИИ</w:t>
      </w:r>
    </w:p>
    <w:p w:rsidR="00E428E8" w:rsidRDefault="00C02441">
      <w:pPr>
        <w:pStyle w:val="ConsPlusTitle0"/>
        <w:jc w:val="center"/>
      </w:pPr>
      <w:r>
        <w:t>(МОЩНОСТИ) УСТАНАВЛИВАЮТСЯ НА ОСНОВЕ ДОЛГОСРОЧНЫХ ПАРАМЕТРОВ</w:t>
      </w:r>
    </w:p>
    <w:p w:rsidR="00E428E8" w:rsidRDefault="00C02441">
      <w:pPr>
        <w:pStyle w:val="ConsPlusTitle0"/>
        <w:jc w:val="center"/>
      </w:pPr>
      <w:r>
        <w:t>РЕГУЛИРОВАНИЯ</w:t>
      </w:r>
    </w:p>
    <w:p w:rsidR="00E428E8" w:rsidRDefault="00E428E8">
      <w:pPr>
        <w:pStyle w:val="ConsPlusNormal0"/>
        <w:jc w:val="both"/>
      </w:pPr>
    </w:p>
    <w:p w:rsidR="00E428E8" w:rsidRDefault="00E428E8">
      <w:pPr>
        <w:pStyle w:val="ConsPlusNormal0"/>
        <w:sectPr w:rsidR="00E428E8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1440" w:right="567" w:bottom="1440" w:left="567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39"/>
        <w:gridCol w:w="680"/>
        <w:gridCol w:w="1531"/>
        <w:gridCol w:w="1834"/>
        <w:gridCol w:w="1834"/>
        <w:gridCol w:w="1924"/>
        <w:gridCol w:w="2194"/>
        <w:gridCol w:w="1609"/>
        <w:gridCol w:w="1459"/>
      </w:tblGrid>
      <w:tr w:rsidR="00E428E8">
        <w:tc>
          <w:tcPr>
            <w:tcW w:w="510" w:type="dxa"/>
            <w:vMerge w:val="restart"/>
          </w:tcPr>
          <w:p w:rsidR="00E428E8" w:rsidRDefault="00C02441">
            <w:pPr>
              <w:pStyle w:val="ConsPlusNormal0"/>
              <w:jc w:val="center"/>
            </w:pPr>
            <w:r>
              <w:lastRenderedPageBreak/>
              <w:t>п/п</w:t>
            </w:r>
          </w:p>
        </w:tc>
        <w:tc>
          <w:tcPr>
            <w:tcW w:w="1639" w:type="dxa"/>
            <w:vMerge w:val="restart"/>
          </w:tcPr>
          <w:p w:rsidR="00E428E8" w:rsidRDefault="00C02441">
            <w:pPr>
              <w:pStyle w:val="ConsPlusNormal0"/>
              <w:jc w:val="center"/>
            </w:pPr>
            <w:r>
              <w:t>Наименование сетевой организации в субъекте Российской Федерации</w:t>
            </w:r>
          </w:p>
        </w:tc>
        <w:tc>
          <w:tcPr>
            <w:tcW w:w="680" w:type="dxa"/>
            <w:vMerge w:val="restart"/>
          </w:tcPr>
          <w:p w:rsidR="00E428E8" w:rsidRDefault="00C02441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1531" w:type="dxa"/>
          </w:tcPr>
          <w:p w:rsidR="00E428E8" w:rsidRDefault="00C02441">
            <w:pPr>
              <w:pStyle w:val="ConsPlusNormal0"/>
              <w:jc w:val="center"/>
            </w:pPr>
            <w:r>
              <w:t>Базовый уровень подконтрольных расходов</w:t>
            </w:r>
          </w:p>
        </w:tc>
        <w:tc>
          <w:tcPr>
            <w:tcW w:w="1834" w:type="dxa"/>
          </w:tcPr>
          <w:p w:rsidR="00E428E8" w:rsidRDefault="00C02441">
            <w:pPr>
              <w:pStyle w:val="ConsPlusNormal0"/>
              <w:jc w:val="center"/>
            </w:pPr>
            <w:r>
              <w:t>Индекс эффективности подк</w:t>
            </w:r>
            <w:r>
              <w:t>онтрольных расходов</w:t>
            </w:r>
          </w:p>
        </w:tc>
        <w:tc>
          <w:tcPr>
            <w:tcW w:w="1834" w:type="dxa"/>
          </w:tcPr>
          <w:p w:rsidR="00E428E8" w:rsidRDefault="00C02441">
            <w:pPr>
              <w:pStyle w:val="ConsPlusNormal0"/>
              <w:jc w:val="center"/>
            </w:pPr>
            <w:r>
              <w:t>Коэффициент эластичности подконтрольных расходов по количеству активов</w:t>
            </w:r>
          </w:p>
        </w:tc>
        <w:tc>
          <w:tcPr>
            <w:tcW w:w="1924" w:type="dxa"/>
          </w:tcPr>
          <w:p w:rsidR="00E428E8" w:rsidRDefault="00C02441">
            <w:pPr>
              <w:pStyle w:val="ConsPlusNormal0"/>
              <w:jc w:val="center"/>
            </w:pPr>
            <w:r>
              <w:t>Величина технологического расхода (потерь) электрической энергии (уровень потерь электрической энергии при ее передаче по электрическим сетям),</w:t>
            </w:r>
          </w:p>
        </w:tc>
        <w:tc>
          <w:tcPr>
            <w:tcW w:w="2194" w:type="dxa"/>
          </w:tcPr>
          <w:p w:rsidR="00E428E8" w:rsidRDefault="00C02441">
            <w:pPr>
              <w:pStyle w:val="ConsPlusNormal0"/>
              <w:jc w:val="center"/>
            </w:pPr>
            <w:r>
              <w:t>Показатель средней продолжительности прекращения передачи электрической энергии на точку поставки</w:t>
            </w:r>
          </w:p>
        </w:tc>
        <w:tc>
          <w:tcPr>
            <w:tcW w:w="1609" w:type="dxa"/>
          </w:tcPr>
          <w:p w:rsidR="00E428E8" w:rsidRDefault="00C02441">
            <w:pPr>
              <w:pStyle w:val="ConsPlusNormal0"/>
              <w:jc w:val="center"/>
            </w:pPr>
            <w:r>
              <w:t>Показатель средней частоты прекращения передачи электрической энергии на точку поставки</w:t>
            </w:r>
          </w:p>
        </w:tc>
        <w:tc>
          <w:tcPr>
            <w:tcW w:w="1459" w:type="dxa"/>
          </w:tcPr>
          <w:p w:rsidR="00E428E8" w:rsidRDefault="00C02441">
            <w:pPr>
              <w:pStyle w:val="ConsPlusNormal0"/>
              <w:jc w:val="center"/>
            </w:pPr>
            <w:r>
              <w:t>Показатель уровня качества оказываемых услуг</w:t>
            </w:r>
          </w:p>
        </w:tc>
      </w:tr>
      <w:tr w:rsidR="00E428E8">
        <w:tc>
          <w:tcPr>
            <w:tcW w:w="510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1639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680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1531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млн. руб.</w:t>
            </w:r>
          </w:p>
        </w:tc>
        <w:tc>
          <w:tcPr>
            <w:tcW w:w="183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83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%</w:t>
            </w:r>
          </w:p>
        </w:tc>
        <w:tc>
          <w:tcPr>
            <w:tcW w:w="21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час</w:t>
            </w:r>
          </w:p>
        </w:tc>
        <w:tc>
          <w:tcPr>
            <w:tcW w:w="1609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шт.</w:t>
            </w:r>
          </w:p>
        </w:tc>
        <w:tc>
          <w:tcPr>
            <w:tcW w:w="1459" w:type="dxa"/>
          </w:tcPr>
          <w:p w:rsidR="00E428E8" w:rsidRDefault="00E428E8">
            <w:pPr>
              <w:pStyle w:val="ConsPlusNormal0"/>
            </w:pPr>
          </w:p>
        </w:tc>
      </w:tr>
      <w:tr w:rsidR="00E428E8">
        <w:tc>
          <w:tcPr>
            <w:tcW w:w="510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39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83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83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1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609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459" w:type="dxa"/>
          </w:tcPr>
          <w:p w:rsidR="00E428E8" w:rsidRDefault="00C02441">
            <w:pPr>
              <w:pStyle w:val="ConsPlusNormal0"/>
              <w:jc w:val="center"/>
            </w:pPr>
            <w:r>
              <w:t>10</w:t>
            </w:r>
          </w:p>
        </w:tc>
      </w:tr>
      <w:tr w:rsidR="00E428E8">
        <w:tc>
          <w:tcPr>
            <w:tcW w:w="510" w:type="dxa"/>
            <w:vMerge w:val="restart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39" w:type="dxa"/>
            <w:vMerge w:val="restart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МУП "Электросеть"</w:t>
            </w:r>
          </w:p>
        </w:tc>
        <w:tc>
          <w:tcPr>
            <w:tcW w:w="680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1531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78,98033</w:t>
            </w:r>
          </w:p>
        </w:tc>
        <w:tc>
          <w:tcPr>
            <w:tcW w:w="183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83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11,17</w:t>
            </w:r>
          </w:p>
        </w:tc>
        <w:tc>
          <w:tcPr>
            <w:tcW w:w="21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1,51762</w:t>
            </w:r>
          </w:p>
        </w:tc>
        <w:tc>
          <w:tcPr>
            <w:tcW w:w="1609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0,88075</w:t>
            </w:r>
          </w:p>
        </w:tc>
        <w:tc>
          <w:tcPr>
            <w:tcW w:w="1459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1,0</w:t>
            </w:r>
          </w:p>
        </w:tc>
      </w:tr>
      <w:tr w:rsidR="00E428E8">
        <w:tc>
          <w:tcPr>
            <w:tcW w:w="510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1639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680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531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3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83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1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1,49486</w:t>
            </w:r>
          </w:p>
        </w:tc>
        <w:tc>
          <w:tcPr>
            <w:tcW w:w="1609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0,86754</w:t>
            </w:r>
          </w:p>
        </w:tc>
        <w:tc>
          <w:tcPr>
            <w:tcW w:w="1459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1,0</w:t>
            </w:r>
          </w:p>
        </w:tc>
      </w:tr>
      <w:tr w:rsidR="00E428E8">
        <w:tc>
          <w:tcPr>
            <w:tcW w:w="510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1639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680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531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3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83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1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1,47243</w:t>
            </w:r>
          </w:p>
        </w:tc>
        <w:tc>
          <w:tcPr>
            <w:tcW w:w="1609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0,85453</w:t>
            </w:r>
          </w:p>
        </w:tc>
        <w:tc>
          <w:tcPr>
            <w:tcW w:w="1459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1,0</w:t>
            </w:r>
          </w:p>
        </w:tc>
      </w:tr>
      <w:tr w:rsidR="00E428E8">
        <w:tc>
          <w:tcPr>
            <w:tcW w:w="510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1639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680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531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3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83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1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1,45035</w:t>
            </w:r>
          </w:p>
        </w:tc>
        <w:tc>
          <w:tcPr>
            <w:tcW w:w="1609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0,84171</w:t>
            </w:r>
          </w:p>
        </w:tc>
        <w:tc>
          <w:tcPr>
            <w:tcW w:w="1459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1,0</w:t>
            </w:r>
          </w:p>
        </w:tc>
      </w:tr>
      <w:tr w:rsidR="00E428E8">
        <w:tc>
          <w:tcPr>
            <w:tcW w:w="510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1639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680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531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83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1,0</w:t>
            </w:r>
          </w:p>
        </w:tc>
        <w:tc>
          <w:tcPr>
            <w:tcW w:w="183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1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1,42859</w:t>
            </w:r>
          </w:p>
        </w:tc>
        <w:tc>
          <w:tcPr>
            <w:tcW w:w="1609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0,82908</w:t>
            </w:r>
          </w:p>
        </w:tc>
        <w:tc>
          <w:tcPr>
            <w:tcW w:w="1459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1,0</w:t>
            </w:r>
          </w:p>
        </w:tc>
      </w:tr>
    </w:tbl>
    <w:p w:rsidR="00E428E8" w:rsidRDefault="00E428E8">
      <w:pPr>
        <w:pStyle w:val="ConsPlusNormal0"/>
        <w:jc w:val="both"/>
      </w:pPr>
    </w:p>
    <w:p w:rsidR="00E428E8" w:rsidRDefault="00E428E8">
      <w:pPr>
        <w:pStyle w:val="ConsPlusNormal0"/>
        <w:jc w:val="both"/>
      </w:pPr>
    </w:p>
    <w:p w:rsidR="00E428E8" w:rsidRDefault="00E428E8">
      <w:pPr>
        <w:pStyle w:val="ConsPlusNormal0"/>
        <w:jc w:val="both"/>
      </w:pPr>
    </w:p>
    <w:p w:rsidR="00E428E8" w:rsidRDefault="00E428E8">
      <w:pPr>
        <w:pStyle w:val="ConsPlusNormal0"/>
        <w:jc w:val="both"/>
      </w:pPr>
    </w:p>
    <w:p w:rsidR="00E428E8" w:rsidRDefault="00E428E8">
      <w:pPr>
        <w:pStyle w:val="ConsPlusNormal0"/>
        <w:jc w:val="both"/>
      </w:pPr>
    </w:p>
    <w:p w:rsidR="00E428E8" w:rsidRDefault="00C02441">
      <w:pPr>
        <w:pStyle w:val="ConsPlusNormal0"/>
        <w:jc w:val="right"/>
        <w:outlineLvl w:val="0"/>
      </w:pPr>
      <w:r>
        <w:t>Приложение 3</w:t>
      </w:r>
    </w:p>
    <w:p w:rsidR="00E428E8" w:rsidRDefault="00C02441">
      <w:pPr>
        <w:pStyle w:val="ConsPlusNormal0"/>
        <w:jc w:val="right"/>
      </w:pPr>
      <w:r>
        <w:t>к постановлению</w:t>
      </w:r>
    </w:p>
    <w:p w:rsidR="00E428E8" w:rsidRDefault="00C02441">
      <w:pPr>
        <w:pStyle w:val="ConsPlusNormal0"/>
        <w:jc w:val="right"/>
      </w:pPr>
      <w:r>
        <w:t>Комитета по ценам и тарифам</w:t>
      </w:r>
    </w:p>
    <w:p w:rsidR="00E428E8" w:rsidRDefault="00C02441">
      <w:pPr>
        <w:pStyle w:val="ConsPlusNormal0"/>
        <w:jc w:val="right"/>
      </w:pPr>
      <w:r>
        <w:t>Правительства Хабаровского края</w:t>
      </w:r>
    </w:p>
    <w:p w:rsidR="00E428E8" w:rsidRDefault="00C02441">
      <w:pPr>
        <w:pStyle w:val="ConsPlusNormal0"/>
        <w:jc w:val="right"/>
      </w:pPr>
      <w:r>
        <w:t>от 25 ноября 2022 г. N 47/156</w:t>
      </w:r>
    </w:p>
    <w:p w:rsidR="00E428E8" w:rsidRDefault="00E428E8">
      <w:pPr>
        <w:pStyle w:val="ConsPlusNormal0"/>
        <w:jc w:val="both"/>
      </w:pPr>
    </w:p>
    <w:p w:rsidR="00E428E8" w:rsidRDefault="00C02441">
      <w:pPr>
        <w:pStyle w:val="ConsPlusTitle0"/>
        <w:jc w:val="center"/>
      </w:pPr>
      <w:bookmarkStart w:id="4" w:name="P159"/>
      <w:bookmarkEnd w:id="4"/>
      <w:r>
        <w:t>ИНДИВИДУАЛЬНЫЕ ЦЕНЫ (ТАРИФЫ)</w:t>
      </w:r>
    </w:p>
    <w:p w:rsidR="00E428E8" w:rsidRDefault="00C02441">
      <w:pPr>
        <w:pStyle w:val="ConsPlusTitle0"/>
        <w:jc w:val="center"/>
      </w:pPr>
      <w:r>
        <w:t>НА УСЛУГИ ПО ПЕРЕДАЧЕ ЭЛЕКТРИЧЕСКОЙ ЭНЕРГИИ (МОЩНОСТИ)</w:t>
      </w:r>
    </w:p>
    <w:p w:rsidR="00E428E8" w:rsidRDefault="00C02441">
      <w:pPr>
        <w:pStyle w:val="ConsPlusTitle0"/>
        <w:jc w:val="center"/>
      </w:pPr>
      <w:r>
        <w:t>ПО СЕТЯМ МУНИЦИПАЛЬНОГО УНИТАРНОГО ПРЕДПРИЯТИЯ ВАНИ</w:t>
      </w:r>
      <w:r>
        <w:t>НСКОГО</w:t>
      </w:r>
    </w:p>
    <w:p w:rsidR="00E428E8" w:rsidRDefault="00C02441">
      <w:pPr>
        <w:pStyle w:val="ConsPlusTitle0"/>
        <w:jc w:val="center"/>
      </w:pPr>
      <w:r>
        <w:lastRenderedPageBreak/>
        <w:t>МУНИЦИПАЛЬНОГО РАЙОНА "ЭЛЕКТРОСЕТЬ" ДЛЯ ВЗАИМОРАСЧЕТОВ</w:t>
      </w:r>
    </w:p>
    <w:p w:rsidR="00E428E8" w:rsidRDefault="00C02441">
      <w:pPr>
        <w:pStyle w:val="ConsPlusTitle0"/>
        <w:jc w:val="center"/>
      </w:pPr>
      <w:r>
        <w:t>С АКЦИОНЕРНЫМ ОБЩЕСТВОМ "ДАЛЬНЕВОСТОЧНАЯ РАСПРЕДЕЛИТЕЛЬНАЯ</w:t>
      </w:r>
    </w:p>
    <w:p w:rsidR="00E428E8" w:rsidRDefault="00C02441">
      <w:pPr>
        <w:pStyle w:val="ConsPlusTitle0"/>
        <w:jc w:val="center"/>
      </w:pPr>
      <w:r>
        <w:t>СЕТЕВАЯ КОМПАНИЯ" (ФИЛИАЛ "ХАБАРОВСКИЕ ЭЛЕКТРИЧЕСКИЕ СЕТИ")</w:t>
      </w:r>
    </w:p>
    <w:p w:rsidR="00E428E8" w:rsidRDefault="00C02441">
      <w:pPr>
        <w:pStyle w:val="ConsPlusTitle0"/>
        <w:jc w:val="center"/>
      </w:pPr>
      <w:r>
        <w:t>НА 2023 - 2027 ГОДЫ</w:t>
      </w:r>
    </w:p>
    <w:p w:rsidR="00E428E8" w:rsidRDefault="00E428E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594"/>
        <w:gridCol w:w="1924"/>
        <w:gridCol w:w="1304"/>
        <w:gridCol w:w="1594"/>
        <w:gridCol w:w="1924"/>
        <w:gridCol w:w="1304"/>
        <w:gridCol w:w="1594"/>
        <w:gridCol w:w="1924"/>
        <w:gridCol w:w="1304"/>
        <w:gridCol w:w="1594"/>
        <w:gridCol w:w="1924"/>
        <w:gridCol w:w="1304"/>
        <w:gridCol w:w="1594"/>
        <w:gridCol w:w="1924"/>
        <w:gridCol w:w="1304"/>
      </w:tblGrid>
      <w:tr w:rsidR="00E428E8">
        <w:tc>
          <w:tcPr>
            <w:tcW w:w="1639" w:type="dxa"/>
            <w:vMerge w:val="restart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Наименование сетевой организации</w:t>
            </w:r>
          </w:p>
        </w:tc>
        <w:tc>
          <w:tcPr>
            <w:tcW w:w="4822" w:type="dxa"/>
            <w:gridSpan w:val="3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4822" w:type="dxa"/>
            <w:gridSpan w:val="3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4822" w:type="dxa"/>
            <w:gridSpan w:val="3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202</w:t>
            </w:r>
            <w:r>
              <w:t>5 год</w:t>
            </w:r>
          </w:p>
        </w:tc>
        <w:tc>
          <w:tcPr>
            <w:tcW w:w="4822" w:type="dxa"/>
            <w:gridSpan w:val="3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4822" w:type="dxa"/>
            <w:gridSpan w:val="3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2027 год</w:t>
            </w:r>
          </w:p>
        </w:tc>
      </w:tr>
      <w:tr w:rsidR="00E428E8">
        <w:tc>
          <w:tcPr>
            <w:tcW w:w="1639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3518" w:type="dxa"/>
            <w:gridSpan w:val="2"/>
            <w:vAlign w:val="center"/>
          </w:tcPr>
          <w:p w:rsidR="00E428E8" w:rsidRDefault="00C02441">
            <w:pPr>
              <w:pStyle w:val="ConsPlusNormal0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vMerge w:val="restart"/>
            <w:vAlign w:val="center"/>
          </w:tcPr>
          <w:p w:rsidR="00E428E8" w:rsidRDefault="00C02441">
            <w:pPr>
              <w:pStyle w:val="ConsPlusNormal0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3518" w:type="dxa"/>
            <w:gridSpan w:val="2"/>
            <w:vAlign w:val="center"/>
          </w:tcPr>
          <w:p w:rsidR="00E428E8" w:rsidRDefault="00C02441">
            <w:pPr>
              <w:pStyle w:val="ConsPlusNormal0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vMerge w:val="restart"/>
            <w:vAlign w:val="center"/>
          </w:tcPr>
          <w:p w:rsidR="00E428E8" w:rsidRDefault="00C02441">
            <w:pPr>
              <w:pStyle w:val="ConsPlusNormal0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3518" w:type="dxa"/>
            <w:gridSpan w:val="2"/>
            <w:vAlign w:val="center"/>
          </w:tcPr>
          <w:p w:rsidR="00E428E8" w:rsidRDefault="00C02441">
            <w:pPr>
              <w:pStyle w:val="ConsPlusNormal0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vMerge w:val="restart"/>
            <w:vAlign w:val="center"/>
          </w:tcPr>
          <w:p w:rsidR="00E428E8" w:rsidRDefault="00C02441">
            <w:pPr>
              <w:pStyle w:val="ConsPlusNormal0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3518" w:type="dxa"/>
            <w:gridSpan w:val="2"/>
            <w:vAlign w:val="center"/>
          </w:tcPr>
          <w:p w:rsidR="00E428E8" w:rsidRDefault="00C02441">
            <w:pPr>
              <w:pStyle w:val="ConsPlusNormal0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vMerge w:val="restart"/>
            <w:vAlign w:val="center"/>
          </w:tcPr>
          <w:p w:rsidR="00E428E8" w:rsidRDefault="00C02441">
            <w:pPr>
              <w:pStyle w:val="ConsPlusNormal0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3518" w:type="dxa"/>
            <w:gridSpan w:val="2"/>
            <w:vAlign w:val="center"/>
          </w:tcPr>
          <w:p w:rsidR="00E428E8" w:rsidRDefault="00C02441">
            <w:pPr>
              <w:pStyle w:val="ConsPlusNormal0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vMerge w:val="restart"/>
            <w:vAlign w:val="center"/>
          </w:tcPr>
          <w:p w:rsidR="00E428E8" w:rsidRDefault="00C02441">
            <w:pPr>
              <w:pStyle w:val="ConsPlusNormal0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</w:tr>
      <w:tr w:rsidR="00E428E8">
        <w:tc>
          <w:tcPr>
            <w:tcW w:w="1639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ставка за содержание электрических сетей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304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ставка за содержание электрических сетей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304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ставка за содержание электрических сетей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304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ставка за содержание электрических сетей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304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ставка за содержание электрических сетей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ставка на оплату технологического расхода (потерь)</w:t>
            </w:r>
          </w:p>
        </w:tc>
        <w:tc>
          <w:tcPr>
            <w:tcW w:w="1304" w:type="dxa"/>
            <w:vMerge/>
          </w:tcPr>
          <w:p w:rsidR="00E428E8" w:rsidRDefault="00E428E8">
            <w:pPr>
              <w:pStyle w:val="ConsPlusNormal0"/>
            </w:pPr>
          </w:p>
        </w:tc>
      </w:tr>
      <w:tr w:rsidR="00E428E8">
        <w:tc>
          <w:tcPr>
            <w:tcW w:w="1639" w:type="dxa"/>
            <w:vMerge/>
          </w:tcPr>
          <w:p w:rsidR="00E428E8" w:rsidRDefault="00E428E8">
            <w:pPr>
              <w:pStyle w:val="ConsPlusNormal0"/>
            </w:pP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руб./МВт. мес.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руб./МВт. ч</w:t>
            </w:r>
          </w:p>
        </w:tc>
        <w:tc>
          <w:tcPr>
            <w:tcW w:w="130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руб./кВт. ч</w:t>
            </w: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руб./МВт. мес.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руб./МВт. ч</w:t>
            </w:r>
          </w:p>
        </w:tc>
        <w:tc>
          <w:tcPr>
            <w:tcW w:w="130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руб./кВт. ч</w:t>
            </w: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руб./МВт. мес.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руб./МВт. ч</w:t>
            </w:r>
          </w:p>
        </w:tc>
        <w:tc>
          <w:tcPr>
            <w:tcW w:w="130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руб./кВт. ч</w:t>
            </w: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руб./МВт. мес.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руб./МВт. ч</w:t>
            </w:r>
          </w:p>
        </w:tc>
        <w:tc>
          <w:tcPr>
            <w:tcW w:w="130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руб./кВт. ч</w:t>
            </w: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руб./МВт. мес.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руб./МВт. ч</w:t>
            </w:r>
          </w:p>
        </w:tc>
        <w:tc>
          <w:tcPr>
            <w:tcW w:w="130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руб./кВт. ч</w:t>
            </w:r>
          </w:p>
        </w:tc>
      </w:tr>
      <w:tr w:rsidR="00E428E8">
        <w:tc>
          <w:tcPr>
            <w:tcW w:w="1639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0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30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30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30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16</w:t>
            </w:r>
          </w:p>
        </w:tc>
      </w:tr>
      <w:tr w:rsidR="00E428E8">
        <w:tc>
          <w:tcPr>
            <w:tcW w:w="1639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АО "ДРСК" (филиал "</w:t>
            </w:r>
            <w:r>
              <w:t>Хабаровские электрические сети") (плательщик) - МУП "Электросеть" (получатель)</w:t>
            </w: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642 360,10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322,04</w:t>
            </w:r>
          </w:p>
        </w:tc>
        <w:tc>
          <w:tcPr>
            <w:tcW w:w="130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1,45381</w:t>
            </w: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643 741,72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337,18</w:t>
            </w:r>
          </w:p>
        </w:tc>
        <w:tc>
          <w:tcPr>
            <w:tcW w:w="130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1,47138</w:t>
            </w: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662 142,03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350,66</w:t>
            </w:r>
          </w:p>
        </w:tc>
        <w:tc>
          <w:tcPr>
            <w:tcW w:w="130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1,51728</w:t>
            </w: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681 810,56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364,69</w:t>
            </w:r>
          </w:p>
        </w:tc>
        <w:tc>
          <w:tcPr>
            <w:tcW w:w="130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1,56596</w:t>
            </w:r>
          </w:p>
        </w:tc>
        <w:tc>
          <w:tcPr>
            <w:tcW w:w="159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699 423,68</w:t>
            </w:r>
          </w:p>
        </w:tc>
        <w:tc>
          <w:tcPr>
            <w:tcW w:w="192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379,28</w:t>
            </w:r>
          </w:p>
        </w:tc>
        <w:tc>
          <w:tcPr>
            <w:tcW w:w="1304" w:type="dxa"/>
            <w:vAlign w:val="center"/>
          </w:tcPr>
          <w:p w:rsidR="00E428E8" w:rsidRDefault="00C02441">
            <w:pPr>
              <w:pStyle w:val="ConsPlusNormal0"/>
              <w:jc w:val="center"/>
            </w:pPr>
            <w:r>
              <w:t>1,61158</w:t>
            </w:r>
          </w:p>
        </w:tc>
      </w:tr>
    </w:tbl>
    <w:p w:rsidR="00E428E8" w:rsidRDefault="00E428E8">
      <w:pPr>
        <w:pStyle w:val="ConsPlusNormal0"/>
        <w:jc w:val="both"/>
      </w:pPr>
    </w:p>
    <w:p w:rsidR="00E428E8" w:rsidRDefault="00C02441">
      <w:pPr>
        <w:pStyle w:val="ConsPlusNormal0"/>
        <w:ind w:firstLine="540"/>
        <w:jc w:val="both"/>
      </w:pPr>
      <w:r>
        <w:t>Примечание: Предприятие находится на упрощенной системе налогообложения.</w:t>
      </w:r>
    </w:p>
    <w:p w:rsidR="00E428E8" w:rsidRDefault="00E428E8">
      <w:pPr>
        <w:pStyle w:val="ConsPlusNormal0"/>
        <w:jc w:val="both"/>
      </w:pPr>
    </w:p>
    <w:p w:rsidR="00E428E8" w:rsidRDefault="00E428E8">
      <w:pPr>
        <w:pStyle w:val="ConsPlusNormal0"/>
        <w:jc w:val="both"/>
      </w:pPr>
    </w:p>
    <w:p w:rsidR="00E428E8" w:rsidRDefault="00E428E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428E8">
      <w:headerReference w:type="default" r:id="rId25"/>
      <w:footerReference w:type="default" r:id="rId26"/>
      <w:headerReference w:type="first" r:id="rId27"/>
      <w:footerReference w:type="first" r:id="rId28"/>
      <w:pgSz w:w="16838" w:h="11906" w:orient="landscape"/>
      <w:pgMar w:top="567" w:right="1440" w:bottom="567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2441">
      <w:r>
        <w:separator/>
      </w:r>
    </w:p>
  </w:endnote>
  <w:endnote w:type="continuationSeparator" w:id="0">
    <w:p w:rsidR="00000000" w:rsidRDefault="00C0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E8" w:rsidRDefault="00E428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581"/>
      <w:gridCol w:w="3690"/>
      <w:gridCol w:w="3581"/>
    </w:tblGrid>
    <w:tr w:rsidR="00E428E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428E8" w:rsidRDefault="00C0244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428E8" w:rsidRDefault="00C0244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428E8" w:rsidRDefault="00C0244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E428E8" w:rsidRDefault="00C0244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E8" w:rsidRDefault="00E428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581"/>
      <w:gridCol w:w="3690"/>
      <w:gridCol w:w="3581"/>
    </w:tblGrid>
    <w:tr w:rsidR="00E428E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428E8" w:rsidRDefault="00C0244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428E8" w:rsidRDefault="00C0244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428E8" w:rsidRDefault="00C0244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E428E8" w:rsidRDefault="00C02441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E8" w:rsidRDefault="00E428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E428E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428E8" w:rsidRDefault="00C0244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428E8" w:rsidRDefault="00C0244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428E8" w:rsidRDefault="00C0244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E428E8" w:rsidRDefault="00C02441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E8" w:rsidRDefault="00E428E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E428E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E428E8" w:rsidRDefault="00C0244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428E8" w:rsidRDefault="00C0244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428E8" w:rsidRDefault="00C0244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E428E8" w:rsidRDefault="00C0244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2441">
      <w:r>
        <w:separator/>
      </w:r>
    </w:p>
  </w:footnote>
  <w:footnote w:type="continuationSeparator" w:id="0">
    <w:p w:rsidR="00000000" w:rsidRDefault="00C02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60"/>
      <w:gridCol w:w="4992"/>
    </w:tblGrid>
    <w:tr w:rsidR="00E428E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428E8" w:rsidRDefault="00C0244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цен</w:t>
          </w:r>
          <w:r>
            <w:rPr>
              <w:rFonts w:ascii="Tahoma" w:hAnsi="Tahoma" w:cs="Tahoma"/>
              <w:sz w:val="16"/>
              <w:szCs w:val="16"/>
            </w:rPr>
            <w:t>ам и тарифам Правительства Хабаровского края от 25.11.2022 N 47/156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установлении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индиви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428E8" w:rsidRDefault="00C0244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E428E8" w:rsidRDefault="00E428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428E8" w:rsidRDefault="00E428E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60"/>
      <w:gridCol w:w="4992"/>
    </w:tblGrid>
    <w:tr w:rsidR="00E428E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428E8" w:rsidRDefault="00C0244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ценам и тарифам Правительства Хабаровского края от 25.11.2022 N 47/156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установлении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индиви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428E8" w:rsidRDefault="00C0244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E428E8" w:rsidRDefault="00E428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428E8" w:rsidRDefault="00E428E8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E428E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428E8" w:rsidRDefault="00C0244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ценам и тарифам Правительства Хабаровского края от 25.11.2022 N 47/156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установлении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индиви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428E8" w:rsidRDefault="00C0244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E428E8" w:rsidRDefault="00E428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428E8" w:rsidRDefault="00E428E8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E428E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E428E8" w:rsidRDefault="00C0244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Комитета по ценам и тарифам Правительства Хабаровского края от 25.11.2022 N 47/156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установлении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инд</w:t>
          </w:r>
          <w:r>
            <w:rPr>
              <w:rFonts w:ascii="Tahoma" w:hAnsi="Tahoma" w:cs="Tahoma"/>
              <w:sz w:val="16"/>
              <w:szCs w:val="16"/>
            </w:rPr>
            <w:t>иви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428E8" w:rsidRDefault="00C0244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E428E8" w:rsidRDefault="00E428E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428E8" w:rsidRDefault="00E428E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28E8"/>
    <w:rsid w:val="00C02441"/>
    <w:rsid w:val="00E4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FE842-36F0-4710-A654-2CFBC214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E5CC7CCADC44570367FC8FA50DAE89372FAAE7D56E06D50FDE605CE79DE6740CB2F30C999E46B729DFA52EAC7DZ0k1A" TargetMode="External"/><Relationship Id="rId18" Type="http://schemas.openxmlformats.org/officeDocument/2006/relationships/hyperlink" Target="consultantplus://offline/ref=E5CC7CCADC44570367FC8FB31EC2D73B2AA3BAD0670ADA5087345AB0C2B67259E0B352C0CE02FC24DFBB32AC7E1C1A3001Z4k6A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E5CC7CCADC44570367FC8FA50DAE89372FA9ECD4610BD50FDE605CE79DE6740CB2F30C999E46B729DFA52EAC7DZ0k1A" TargetMode="External"/><Relationship Id="rId17" Type="http://schemas.openxmlformats.org/officeDocument/2006/relationships/hyperlink" Target="consultantplus://offline/ref=E5CC7CCADC44570367FC8FB31EC2D73B2AA3BAD0670DDB5180355AB0C2B67259E0B352C0CE02FC24DFBB32AC7E1C1A3001Z4k6A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CC7CCADC44570367FC8FB31EC2D73B2AA3BAD0670CD95B80345AB0C2B67259E0B352C0CE02FC24DFBB32AC7E1C1A3001Z4k6A" TargetMode="External"/><Relationship Id="rId20" Type="http://schemas.openxmlformats.org/officeDocument/2006/relationships/hyperlink" Target="consultantplus://offline/ref=E5CC7CCADC44570367FC8FB31EC2D73B2AA3BAD06708DC508B3C5AB0C2B67259E0B352C0CE02FC24DFBB32AC7E1C1A3001Z4k6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5CC7CCADC44570367FC8FA50DAE89372FABE5DF6209D50FDE605CE79DE6740CB2F30C999E46B729DFA52EAC7DZ0k1A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5CC7CCADC44570367FC8FB31EC2D73B2AA3BAD0670BD85A81345AB0C2B67259E0B352C0CE02FC24DFBB32AC7E1C1A3001Z4k6A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consultantplus://offline/ref=E5CC7CCADC44570367FC8FA50DAE89372FABE5DF6F07D50FDE605CE79DE6740CB2F30C999E46B729DFA52EAC7DZ0k1A" TargetMode="External"/><Relationship Id="rId19" Type="http://schemas.openxmlformats.org/officeDocument/2006/relationships/hyperlink" Target="consultantplus://offline/ref=E5CC7CCADC44570367FC8FB31EC2D73B2AA3BAD0670BDA5D80375AB0C2B67259E0B352C0CE02FC24DFBB32AC7E1C1A3001Z4k6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CC7CCADC44570367FC8FA50DAE89372FABE5D46E0FD50FDE605CE79DE6740CB2F30C999E46B729DFA52EAC7DZ0k1A" TargetMode="External"/><Relationship Id="rId14" Type="http://schemas.openxmlformats.org/officeDocument/2006/relationships/hyperlink" Target="consultantplus://offline/ref=E5CC7CCADC44570367FC8FA50DAE89372FABE4DA6407D50FDE605CE79DE6740CB2F30C999E46B729DFA52EAC7DZ0k1A" TargetMode="External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2185</Words>
  <Characters>12457</Characters>
  <Application>Microsoft Office Word</Application>
  <DocSecurity>0</DocSecurity>
  <Lines>103</Lines>
  <Paragraphs>29</Paragraphs>
  <ScaleCrop>false</ScaleCrop>
  <Company>КонсультантПлюс Версия 4022.00.55</Company>
  <LinksUpToDate>false</LinksUpToDate>
  <CharactersWithSpaces>14613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Комитета по ценам и тарифам Правительства Хабаровского края от 25.11.2022 N 47/156
"Об установлении индивидуальных цен (тарифов) на услуги по передаче электрической энергии (мощности) по сетям муниципального унитарного предприятия Ванинского муниципального района "Электросеть" для взаиморасчетов с акционерным обществом "Дальневосточная распределительная сетевая компания" (филиал "Хабаровские электрические сети") на 2023 - 2027 годы"</dc:title>
  <cp:lastModifiedBy>Vernigorova</cp:lastModifiedBy>
  <cp:revision>2</cp:revision>
  <dcterms:created xsi:type="dcterms:W3CDTF">2023-01-10T00:36:00Z</dcterms:created>
  <dcterms:modified xsi:type="dcterms:W3CDTF">2023-01-10T00:38:00Z</dcterms:modified>
</cp:coreProperties>
</file>